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706F" w14:textId="48A3061E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4E368B">
        <w:rPr>
          <w:b/>
          <w:bCs/>
        </w:rPr>
        <w:t>1</w:t>
      </w:r>
      <w:r w:rsidR="005A78A7">
        <w:rPr>
          <w:b/>
          <w:bCs/>
        </w:rPr>
        <w:t>3</w:t>
      </w:r>
      <w:r w:rsidR="008D0255">
        <w:rPr>
          <w:b/>
          <w:bCs/>
        </w:rPr>
        <w:t xml:space="preserve"> </w:t>
      </w:r>
    </w:p>
    <w:p w14:paraId="719C34E9" w14:textId="611F5B1D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440C61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5A78A7">
        <w:rPr>
          <w:b/>
          <w:bCs/>
        </w:rPr>
        <w:t>11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4C4C4E65" w:rsidR="00B519EA" w:rsidRPr="00E50BC3" w:rsidRDefault="00833BD2" w:rsidP="0023223F">
      <w:pPr>
        <w:jc w:val="both"/>
      </w:pPr>
      <w:r>
        <w:t>Il giorno 11</w:t>
      </w:r>
      <w:r w:rsidR="00F00B0D"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440C61">
        <w:t xml:space="preserve"> 2022, alle ore 9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440C6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30813619" w14:textId="77777777" w:rsidR="008F7ED9" w:rsidRDefault="008F7ED9" w:rsidP="008F7ED9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La Commissione procede con l’esame del </w:t>
      </w:r>
      <w:r>
        <w:rPr>
          <w:rFonts w:asciiTheme="minorHAnsi" w:hAnsiTheme="minorHAnsi" w:cstheme="minorHAnsi"/>
          <w:b/>
          <w:bCs/>
          <w:sz w:val="22"/>
          <w:szCs w:val="22"/>
        </w:rPr>
        <w:t>III</w:t>
      </w: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 Lotto di gara</w:t>
      </w:r>
    </w:p>
    <w:p w14:paraId="78D0EE56" w14:textId="77777777" w:rsidR="00AB1520" w:rsidRDefault="008F7ED9" w:rsidP="00AB1520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224986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</w:t>
      </w:r>
    </w:p>
    <w:p w14:paraId="68052E27" w14:textId="02545C98" w:rsidR="008F7ED9" w:rsidRPr="00457E9F" w:rsidRDefault="008F7ED9" w:rsidP="00AB1520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€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789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9C87C8A" w14:textId="77777777" w:rsidR="008F7ED9" w:rsidRPr="008A317C" w:rsidRDefault="008F7ED9" w:rsidP="008F7ED9">
      <w:pPr>
        <w:rPr>
          <w:rFonts w:cstheme="minorHAnsi"/>
        </w:rPr>
      </w:pPr>
      <w:r w:rsidRPr="006B035E">
        <w:rPr>
          <w:rFonts w:cstheme="minorHAnsi"/>
        </w:rPr>
        <w:t>Casa circondariale di Civitavecchia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Viterbo</w:t>
      </w:r>
      <w:r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Civitavecchia</w:t>
      </w:r>
      <w:r>
        <w:rPr>
          <w:rFonts w:cstheme="minorHAnsi"/>
        </w:rPr>
        <w:t>.</w:t>
      </w:r>
    </w:p>
    <w:p w14:paraId="0B5E82F7" w14:textId="77777777" w:rsidR="008F7ED9" w:rsidRDefault="008F7ED9" w:rsidP="0023223F">
      <w:pPr>
        <w:jc w:val="both"/>
      </w:pPr>
    </w:p>
    <w:p w14:paraId="7435A3AB" w14:textId="7C0F1424" w:rsidR="00801B0E" w:rsidRDefault="00801B0E" w:rsidP="0023223F">
      <w:pPr>
        <w:jc w:val="both"/>
      </w:pPr>
      <w:r>
        <w:t>In via preliminare, la Commissione dà atto dell’acquisizione della visura camerale, in lingua tedesca,</w:t>
      </w:r>
      <w:r w:rsidR="000637E4">
        <w:t xml:space="preserve"> con relativa traduzione in lingua italiana (da “</w:t>
      </w:r>
      <w:proofErr w:type="spellStart"/>
      <w:r w:rsidR="000637E4">
        <w:t>google</w:t>
      </w:r>
      <w:proofErr w:type="spellEnd"/>
      <w:r w:rsidR="000637E4">
        <w:t xml:space="preserve"> </w:t>
      </w:r>
      <w:proofErr w:type="spellStart"/>
      <w:r w:rsidR="000637E4">
        <w:t>translator</w:t>
      </w:r>
      <w:proofErr w:type="spellEnd"/>
      <w:r w:rsidR="000637E4">
        <w:t>”)</w:t>
      </w:r>
      <w:r>
        <w:t xml:space="preserve"> per la società partecipante DUSSMANN Service Holding GMBH c.f. 97406290151, (</w:t>
      </w:r>
      <w:proofErr w:type="spellStart"/>
      <w:r>
        <w:t>All</w:t>
      </w:r>
      <w:proofErr w:type="spellEnd"/>
      <w:r>
        <w:t>. V 13-1)</w:t>
      </w:r>
      <w:r w:rsidR="008F7ED9">
        <w:t xml:space="preserve"> dalla quale </w:t>
      </w:r>
      <w:r w:rsidR="001401C6">
        <w:t>non si evincono elementi che rivelino la presenza di situazioni di controllo ex art. 2359 c</w:t>
      </w:r>
      <w:r w:rsidR="00833BD2">
        <w:t>.</w:t>
      </w:r>
      <w:r w:rsidR="001401C6">
        <w:t>c</w:t>
      </w:r>
      <w:r w:rsidR="00833BD2">
        <w:t>.</w:t>
      </w:r>
      <w:r w:rsidR="001401C6">
        <w:t xml:space="preserve"> e ex art. 80 comma 5 lettera m</w:t>
      </w:r>
      <w:r w:rsidR="00833BD2">
        <w:t>)</w:t>
      </w:r>
      <w:r w:rsidR="001401C6">
        <w:t xml:space="preserve"> del codice dei contratti (</w:t>
      </w:r>
      <w:proofErr w:type="spellStart"/>
      <w:r w:rsidR="001401C6">
        <w:t>cfr</w:t>
      </w:r>
      <w:proofErr w:type="spellEnd"/>
      <w:r w:rsidR="001401C6">
        <w:t xml:space="preserve"> tabella sottostante).</w:t>
      </w:r>
    </w:p>
    <w:p w14:paraId="4938E90D" w14:textId="77777777" w:rsidR="001401C6" w:rsidRDefault="001401C6" w:rsidP="0023223F">
      <w:pPr>
        <w:jc w:val="both"/>
      </w:pPr>
    </w:p>
    <w:tbl>
      <w:tblPr>
        <w:tblW w:w="970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1"/>
        <w:gridCol w:w="3574"/>
        <w:gridCol w:w="1990"/>
        <w:gridCol w:w="1651"/>
      </w:tblGrid>
      <w:tr w:rsidR="008F7ED9" w:rsidRPr="008F7ED9" w14:paraId="711129D2" w14:textId="77777777" w:rsidTr="008F7ED9">
        <w:trPr>
          <w:trHeight w:val="480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5299" w14:textId="77777777" w:rsidR="008F7ED9" w:rsidRPr="008F7ED9" w:rsidRDefault="008F7ED9" w:rsidP="008F7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F7ED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3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99F6" w14:textId="77777777" w:rsidR="008F7ED9" w:rsidRPr="008F7ED9" w:rsidRDefault="008F7ED9" w:rsidP="008F7E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F7ED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Condizione di controllo e collegamento ex art. 2359 c.c.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5F2B" w14:textId="77777777" w:rsidR="008F7ED9" w:rsidRPr="008F7ED9" w:rsidRDefault="008F7ED9" w:rsidP="008F7E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F7ED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Acquisizione visura camerale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9E35" w14:textId="77777777" w:rsidR="008F7ED9" w:rsidRPr="008F7ED9" w:rsidRDefault="008F7ED9" w:rsidP="008F7E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F7ED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Lotti di partecipazione</w:t>
            </w:r>
          </w:p>
        </w:tc>
      </w:tr>
      <w:tr w:rsidR="008F7ED9" w:rsidRPr="008F7ED9" w14:paraId="3530FE81" w14:textId="77777777" w:rsidTr="008F7ED9">
        <w:trPr>
          <w:trHeight w:val="480"/>
        </w:trPr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63F0" w14:textId="77777777" w:rsidR="008F7ED9" w:rsidRPr="008F7ED9" w:rsidRDefault="008F7ED9" w:rsidP="008F7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7ED9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B167" w14:textId="77777777" w:rsidR="008F7ED9" w:rsidRPr="008F7ED9" w:rsidRDefault="008F7ED9" w:rsidP="008F7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r w:rsidRPr="008F7ED9">
              <w:rPr>
                <w:rFonts w:ascii="Calibri" w:eastAsia="Times New Roman" w:hAnsi="Calibri" w:cs="Calibri"/>
                <w:color w:val="000000"/>
                <w:lang w:val="en-US" w:eastAsia="it-IT"/>
              </w:rPr>
              <w:t>DUSSMANN SERVICE HOLDING GMBH C.F. 97406290151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6D45" w14:textId="607E7006" w:rsidR="008F7ED9" w:rsidRPr="008F7ED9" w:rsidRDefault="008F7ED9" w:rsidP="008F7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it-IT"/>
              </w:rPr>
              <w:t>x</w:t>
            </w:r>
            <w:r w:rsidRPr="008F7ED9">
              <w:rPr>
                <w:rFonts w:ascii="Calibri" w:eastAsia="Times New Roman" w:hAnsi="Calibri" w:cs="Calibri"/>
                <w:color w:val="000000"/>
                <w:lang w:val="en-US"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DA64" w14:textId="77777777" w:rsidR="008F7ED9" w:rsidRPr="008F7ED9" w:rsidRDefault="008F7ED9" w:rsidP="008F7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7ED9">
              <w:rPr>
                <w:rFonts w:ascii="Calibri" w:eastAsia="Times New Roman" w:hAnsi="Calibri" w:cs="Calibri"/>
                <w:color w:val="000000"/>
                <w:lang w:eastAsia="it-IT"/>
              </w:rPr>
              <w:t>Lotto 3</w:t>
            </w:r>
          </w:p>
        </w:tc>
      </w:tr>
    </w:tbl>
    <w:p w14:paraId="5CD4CD4E" w14:textId="77777777" w:rsidR="008F7ED9" w:rsidRDefault="008F7ED9" w:rsidP="0023223F">
      <w:pPr>
        <w:jc w:val="both"/>
      </w:pPr>
    </w:p>
    <w:p w14:paraId="505B99B9" w14:textId="3BE4858F" w:rsidR="00294B28" w:rsidRDefault="00294B28" w:rsidP="00294B28">
      <w:pPr>
        <w:jc w:val="both"/>
      </w:pPr>
      <w:r>
        <w:t>La Commissione Giudicatrice non può proseguire con l’attribuzione dei punteggi secondo le modalità già esplicitate nel precedente verbale, rilevando che nel documento denominato “Offerta Economica”, presentato dalla</w:t>
      </w:r>
      <w:r w:rsidR="000100C7">
        <w:t xml:space="preserve"> </w:t>
      </w:r>
      <w:r w:rsidR="000100C7" w:rsidRPr="000100C7">
        <w:rPr>
          <w:b/>
          <w:bCs/>
          <w:i/>
          <w:iCs/>
        </w:rPr>
        <w:t>OMISSIS</w:t>
      </w:r>
      <w:r>
        <w:t xml:space="preserve">, concorrente per il Lotto 3 Lazio 45, i costi aziendali e i costi di manodopera indicati </w:t>
      </w:r>
      <w:r w:rsidRPr="00833BD2">
        <w:rPr>
          <w:u w:val="single"/>
        </w:rPr>
        <w:t xml:space="preserve">non sono </w:t>
      </w:r>
      <w:proofErr w:type="spellStart"/>
      <w:r w:rsidRPr="00833BD2">
        <w:rPr>
          <w:u w:val="single"/>
        </w:rPr>
        <w:t>parametrabili</w:t>
      </w:r>
      <w:proofErr w:type="spellEnd"/>
      <w:r>
        <w:t xml:space="preserve"> alla diaria pro-capite offerta, come richiesto dal disciplinare di gara a pena di esclusione.</w:t>
      </w:r>
    </w:p>
    <w:p w14:paraId="65252605" w14:textId="30DED304" w:rsidR="00294B28" w:rsidRDefault="00294B28" w:rsidP="00294B28">
      <w:pPr>
        <w:jc w:val="both"/>
      </w:pPr>
      <w:r>
        <w:lastRenderedPageBreak/>
        <w:t>Per chiarezza di visione, i dati inseriti dall’operatore economico in questione nella scheda “Offerta Economica” sono riportati nella tabella sottostante.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420"/>
        <w:gridCol w:w="1600"/>
        <w:gridCol w:w="1400"/>
        <w:gridCol w:w="2160"/>
      </w:tblGrid>
      <w:tr w:rsidR="00294B28" w:rsidRPr="005C5252" w14:paraId="20096D40" w14:textId="77777777" w:rsidTr="00A766BC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8986" w14:textId="77777777" w:rsidR="00294B28" w:rsidRPr="005C5252" w:rsidRDefault="00294B28" w:rsidP="00A766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Scheda lotto 3 -45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AF40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EE5D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1D89" w14:textId="77777777" w:rsidR="00294B28" w:rsidRPr="005C5252" w:rsidRDefault="00294B28" w:rsidP="00A766B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C9A3" w14:textId="77777777" w:rsidR="00294B28" w:rsidRPr="005C5252" w:rsidRDefault="00294B28" w:rsidP="00A766B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294B28" w:rsidRPr="005C5252" w14:paraId="1381DFDA" w14:textId="77777777" w:rsidTr="00A766BC">
        <w:trPr>
          <w:trHeight w:val="11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ED9E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972C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Diaria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457C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Percentuali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58FF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aziendali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1C41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Costi della manodopera ex art. 95</w:t>
            </w:r>
          </w:p>
        </w:tc>
      </w:tr>
      <w:tr w:rsidR="00294B28" w:rsidRPr="005C5252" w14:paraId="4CAEFF55" w14:textId="77777777" w:rsidTr="00A766BC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79F2" w14:textId="5A253A20" w:rsidR="00294B28" w:rsidRPr="000100C7" w:rsidRDefault="000100C7" w:rsidP="00A766BC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lang w:eastAsia="it-IT"/>
              </w:rPr>
            </w:pPr>
            <w:r w:rsidRPr="000100C7">
              <w:rPr>
                <w:rFonts w:eastAsia="Times New Roman" w:cstheme="minorHAnsi"/>
                <w:b/>
                <w:bCs/>
                <w:i/>
                <w:iCs/>
                <w:color w:val="000000"/>
                <w:lang w:eastAsia="it-IT"/>
              </w:rPr>
              <w:t>OMISSIS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2B41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5,30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3DA5" w14:textId="77777777" w:rsidR="00294B28" w:rsidRPr="005C5252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C5252">
              <w:rPr>
                <w:rFonts w:eastAsia="Times New Roman" w:cstheme="minorHAnsi"/>
                <w:color w:val="000000"/>
                <w:lang w:eastAsia="it-IT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C566" w14:textId="77777777" w:rsidR="00294B28" w:rsidRPr="009F0D08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u w:val="single"/>
                <w:lang w:eastAsia="it-IT"/>
              </w:rPr>
            </w:pPr>
            <w:r w:rsidRPr="009F0D08">
              <w:rPr>
                <w:rFonts w:eastAsia="Times New Roman" w:cstheme="minorHAnsi"/>
                <w:b/>
                <w:color w:val="000000"/>
                <w:u w:val="single"/>
                <w:lang w:eastAsia="it-IT"/>
              </w:rPr>
              <w:t>1.800,00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A775" w14:textId="77777777" w:rsidR="00294B28" w:rsidRPr="009F0D08" w:rsidRDefault="00294B28" w:rsidP="00A766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u w:val="single"/>
                <w:lang w:eastAsia="it-IT"/>
              </w:rPr>
            </w:pPr>
            <w:r w:rsidRPr="009F0D08">
              <w:rPr>
                <w:rFonts w:eastAsia="Times New Roman" w:cstheme="minorHAnsi"/>
                <w:b/>
                <w:color w:val="000000"/>
                <w:u w:val="single"/>
                <w:lang w:eastAsia="it-IT"/>
              </w:rPr>
              <w:t>262.948,40</w:t>
            </w:r>
          </w:p>
        </w:tc>
      </w:tr>
    </w:tbl>
    <w:p w14:paraId="708632D2" w14:textId="77777777" w:rsidR="00294B28" w:rsidRDefault="00294B28" w:rsidP="00294B28">
      <w:pPr>
        <w:jc w:val="both"/>
      </w:pPr>
    </w:p>
    <w:p w14:paraId="6758A569" w14:textId="77777777" w:rsidR="00294B28" w:rsidRPr="000100C7" w:rsidRDefault="00294B28" w:rsidP="00294B28">
      <w:pPr>
        <w:pStyle w:val="Nessunaspaziatura"/>
        <w:jc w:val="both"/>
        <w:rPr>
          <w:bCs/>
        </w:rPr>
      </w:pPr>
      <w:r>
        <w:t xml:space="preserve">Considerato che, il paragrafo 7.3 del disciplinare di gara, che si riporta integralmente, prevede: “Nel documento generato dal Sistema e denominato Offerta economica il concorrente dovrà indicare, </w:t>
      </w:r>
      <w:r w:rsidRPr="000100C7">
        <w:rPr>
          <w:bCs/>
        </w:rPr>
        <w:t xml:space="preserve">pena l’esclusione: </w:t>
      </w:r>
    </w:p>
    <w:p w14:paraId="4ECEA88D" w14:textId="77777777" w:rsidR="00294B28" w:rsidRDefault="00294B28" w:rsidP="00294B28">
      <w:pPr>
        <w:pStyle w:val="Nessunaspaziatura"/>
        <w:jc w:val="both"/>
      </w:pPr>
      <w:r>
        <w:t>-la “diaria pro‐capite offerta” (come calcolata dal Foglio calcolo offerta economica e riportata nel documento PDF “Calcolo offerta economica – riga 4”);</w:t>
      </w:r>
    </w:p>
    <w:p w14:paraId="69250947" w14:textId="77777777" w:rsidR="00294B28" w:rsidRDefault="00294B28" w:rsidP="00294B28">
      <w:pPr>
        <w:pStyle w:val="Nessunaspaziatura"/>
        <w:jc w:val="both"/>
      </w:pPr>
      <w:r>
        <w:t xml:space="preserve">-il ribasso percentuale rispetto alla base d’asta (come calcolato dal Foglio calcolo offerta economica e riportato nel documento PDF “Calcolo offerta economica – riga 5”); </w:t>
      </w:r>
    </w:p>
    <w:p w14:paraId="4CE1E3C0" w14:textId="77777777" w:rsidR="00294B28" w:rsidRDefault="00294B28" w:rsidP="00294B28">
      <w:pPr>
        <w:pStyle w:val="Nessunaspaziatura"/>
        <w:jc w:val="both"/>
      </w:pPr>
      <w:bookmarkStart w:id="1" w:name="_Hlk95124156"/>
      <w:r>
        <w:t xml:space="preserve">-i propri costi aziendali concernenti l'adempimento delle disposizioni in materia di salute e sicurezza sui luoghi di lavoro, di cui all’art. 95, comma 10, del Codice, rispetto alla “diaria pro‐capite offerta”;  </w:t>
      </w:r>
    </w:p>
    <w:p w14:paraId="10EB195D" w14:textId="77777777" w:rsidR="00294B28" w:rsidRDefault="00294B28" w:rsidP="00294B28">
      <w:pPr>
        <w:pStyle w:val="Nessunaspaziatura"/>
        <w:jc w:val="both"/>
      </w:pPr>
      <w:r>
        <w:t>-i costi della manodopera, di cui all’art. 95, comma 10, del Codice, sempre rispetto alla “diaria pro‐capite offerta”</w:t>
      </w:r>
      <w:proofErr w:type="gramStart"/>
      <w:r>
        <w:t>; ”</w:t>
      </w:r>
      <w:proofErr w:type="gramEnd"/>
      <w:r>
        <w:t xml:space="preserve"> </w:t>
      </w:r>
    </w:p>
    <w:p w14:paraId="2638CBBF" w14:textId="63D9AD6B" w:rsidR="00294B28" w:rsidRDefault="00294B28" w:rsidP="00294B28">
      <w:pPr>
        <w:pStyle w:val="Nessunaspaziatura"/>
        <w:jc w:val="both"/>
        <w:rPr>
          <w:u w:val="single"/>
        </w:rPr>
      </w:pPr>
      <w:r w:rsidRPr="00EA18FB">
        <w:rPr>
          <w:u w:val="single"/>
        </w:rPr>
        <w:t>la commissione ritiene di dover propor</w:t>
      </w:r>
      <w:r>
        <w:rPr>
          <w:u w:val="single"/>
        </w:rPr>
        <w:t>re al R.U.P. l’esclusione dell’operatore economico</w:t>
      </w:r>
      <w:r w:rsidRPr="00EA18FB">
        <w:rPr>
          <w:u w:val="single"/>
        </w:rPr>
        <w:t xml:space="preserve"> </w:t>
      </w:r>
      <w:r w:rsidR="000100C7" w:rsidRPr="000100C7">
        <w:rPr>
          <w:b/>
          <w:bCs/>
          <w:i/>
          <w:iCs/>
          <w:u w:val="single"/>
        </w:rPr>
        <w:t>OMISSIS</w:t>
      </w:r>
      <w:r>
        <w:rPr>
          <w:u w:val="single"/>
        </w:rPr>
        <w:t xml:space="preserve"> poiché il dato inserito nella voce “Propri costi </w:t>
      </w:r>
      <w:r w:rsidRPr="00EA18FB">
        <w:rPr>
          <w:u w:val="single"/>
        </w:rPr>
        <w:t>aziendali</w:t>
      </w:r>
      <w:r>
        <w:rPr>
          <w:u w:val="single"/>
        </w:rPr>
        <w:t xml:space="preserve"> concernenti l’adempimento delle disposizioni in materia di salute e sicurezza sui luoghi di lavoro di cui all’art. 95 comma 10” e nella voce “Costi della</w:t>
      </w:r>
      <w:r w:rsidRPr="00EA18FB">
        <w:rPr>
          <w:u w:val="single"/>
        </w:rPr>
        <w:t xml:space="preserve"> manodopera</w:t>
      </w:r>
      <w:r w:rsidRPr="00A340AD">
        <w:rPr>
          <w:u w:val="single"/>
        </w:rPr>
        <w:t>,</w:t>
      </w:r>
      <w:r>
        <w:rPr>
          <w:u w:val="single"/>
        </w:rPr>
        <w:t xml:space="preserve"> di cui all’art. 95”</w:t>
      </w:r>
      <w:r w:rsidRPr="00A340AD">
        <w:rPr>
          <w:u w:val="single"/>
        </w:rPr>
        <w:t xml:space="preserve"> </w:t>
      </w:r>
      <w:r w:rsidRPr="00F556BB">
        <w:rPr>
          <w:b/>
          <w:u w:val="single"/>
        </w:rPr>
        <w:t>non corrisponde a quanto richiesto dal Disciplinare di gara</w:t>
      </w:r>
      <w:r w:rsidRPr="00A340AD">
        <w:rPr>
          <w:u w:val="single"/>
        </w:rPr>
        <w:t xml:space="preserve"> </w:t>
      </w:r>
      <w:r w:rsidRPr="00F556BB">
        <w:rPr>
          <w:b/>
          <w:u w:val="single"/>
        </w:rPr>
        <w:t>a pena di esclusione</w:t>
      </w:r>
      <w:r>
        <w:rPr>
          <w:u w:val="single"/>
        </w:rPr>
        <w:t xml:space="preserve"> ossia l’</w:t>
      </w:r>
      <w:r w:rsidRPr="00A340AD">
        <w:rPr>
          <w:u w:val="single"/>
        </w:rPr>
        <w:t>indicazione dei costi rispetto alla diaria pro-capite giornaliera offerta</w:t>
      </w:r>
      <w:r w:rsidR="0063633F">
        <w:rPr>
          <w:u w:val="single"/>
        </w:rPr>
        <w:t xml:space="preserve"> (</w:t>
      </w:r>
      <w:proofErr w:type="spellStart"/>
      <w:r w:rsidR="0063633F">
        <w:rPr>
          <w:u w:val="single"/>
        </w:rPr>
        <w:t>All</w:t>
      </w:r>
      <w:proofErr w:type="spellEnd"/>
      <w:r w:rsidR="0063633F">
        <w:rPr>
          <w:u w:val="single"/>
        </w:rPr>
        <w:t>. V13-2).</w:t>
      </w:r>
    </w:p>
    <w:p w14:paraId="6BED1262" w14:textId="77777777" w:rsidR="00294B28" w:rsidRDefault="00294B28" w:rsidP="00294B28">
      <w:pPr>
        <w:pStyle w:val="Nessunaspaziatura"/>
        <w:jc w:val="both"/>
        <w:rPr>
          <w:u w:val="single"/>
        </w:rPr>
      </w:pPr>
    </w:p>
    <w:bookmarkEnd w:id="1"/>
    <w:p w14:paraId="00E73C0E" w14:textId="77777777" w:rsidR="00294B28" w:rsidRDefault="00294B28" w:rsidP="00294B28">
      <w:pPr>
        <w:jc w:val="both"/>
      </w:pPr>
      <w:r>
        <w:t xml:space="preserve">Il dato richiesto all’operatore </w:t>
      </w:r>
      <w:r w:rsidRPr="0099568B">
        <w:t>e</w:t>
      </w:r>
      <w:r>
        <w:t>conomico</w:t>
      </w:r>
      <w:r w:rsidRPr="0099568B">
        <w:t>, inoltre, non può essere ricavato da altro elemento presente nell</w:t>
      </w:r>
      <w:r>
        <w:t>a busta dell’</w:t>
      </w:r>
      <w:r w:rsidRPr="0099568B">
        <w:t>offerta economica né altrimenti acquisito mediante il ricorso al soccorso istruttorio,</w:t>
      </w:r>
      <w:r>
        <w:t xml:space="preserve"> poiché</w:t>
      </w:r>
      <w:r w:rsidRPr="0099568B">
        <w:t xml:space="preserve"> non ammissibile in questa fase della procedura.</w:t>
      </w:r>
    </w:p>
    <w:p w14:paraId="41F7A1B4" w14:textId="77777777" w:rsidR="00294B28" w:rsidRDefault="00294B28" w:rsidP="00294B28">
      <w:pPr>
        <w:jc w:val="both"/>
      </w:pPr>
      <w:r>
        <w:t xml:space="preserve">Il disciplinare di gara, nella fase della valutazione dell’offerta economica prevede al paragrafo 9.1, una sola ipotesi in cui è possibile “sanare” eventuali discrepanze tra le dichiarazioni rese </w:t>
      </w:r>
      <w:proofErr w:type="gramStart"/>
      <w:r>
        <w:t>dall’operatore  economico</w:t>
      </w:r>
      <w:proofErr w:type="gramEnd"/>
      <w:r>
        <w:t xml:space="preserve"> cioè nel caso in cui dovesse esserci discordanza </w:t>
      </w:r>
      <w:r w:rsidRPr="00DA5FD7">
        <w:t xml:space="preserve">tra i valori contenuti nel modello “Offerta Economica” e </w:t>
      </w:r>
      <w:r>
        <w:t>quelli presenti nel</w:t>
      </w:r>
      <w:r w:rsidRPr="00DA5FD7">
        <w:t xml:space="preserve"> documento “Calcolo offerta economica”, </w:t>
      </w:r>
      <w:r>
        <w:t>dando prevalenza a quest’ultimo</w:t>
      </w:r>
      <w:r w:rsidRPr="00A31D86">
        <w:t>.</w:t>
      </w:r>
    </w:p>
    <w:p w14:paraId="54034E35" w14:textId="47216138" w:rsidR="00294B28" w:rsidRDefault="00294B28" w:rsidP="00294B28">
      <w:pPr>
        <w:jc w:val="both"/>
      </w:pPr>
      <w:r>
        <w:t xml:space="preserve">Inoltre l’Operatore Economico concorrente, così come previsto dal disciplinare di gara, cfr. pag. 39, ben avrebbe potuto corredare l’offerta indicando, unitamente all’offerta economica, nella sezione del Sistema denominata </w:t>
      </w:r>
      <w:r w:rsidRPr="007D3E5D">
        <w:rPr>
          <w:b/>
        </w:rPr>
        <w:t>“Ulteriore documentazione economica”</w:t>
      </w:r>
      <w:r w:rsidR="0063633F">
        <w:t>, “</w:t>
      </w:r>
      <w:r>
        <w:t xml:space="preserve">le spiegazioni … con riferimento a ciascuna voce di prezzo che concorre a formare l’importo complessivo” da cui poter trarre eventualmente il dato richiesto. </w:t>
      </w:r>
    </w:p>
    <w:p w14:paraId="1DDC2810" w14:textId="77777777" w:rsidR="00294B28" w:rsidRDefault="00294B28" w:rsidP="00294B28">
      <w:pPr>
        <w:jc w:val="both"/>
      </w:pPr>
      <w:r>
        <w:t>O</w:t>
      </w:r>
      <w:r w:rsidRPr="0099568B">
        <w:t>gni altro intervento i</w:t>
      </w:r>
      <w:r>
        <w:t xml:space="preserve">nterpretativo della Commissione si </w:t>
      </w:r>
      <w:r w:rsidRPr="0099568B">
        <w:t xml:space="preserve">configurerebbe come manipolativo </w:t>
      </w:r>
      <w:r>
        <w:t>e adattativo dell’offerta.</w:t>
      </w:r>
    </w:p>
    <w:p w14:paraId="21F9BB5E" w14:textId="77777777" w:rsidR="00294B28" w:rsidRDefault="00294B28" w:rsidP="00294B28">
      <w:pPr>
        <w:jc w:val="both"/>
      </w:pPr>
      <w:r>
        <w:t>Questo ragionamento, trova fondamento nella giurisprudenza consolidata che ritiene vi sia</w:t>
      </w:r>
      <w:r w:rsidRPr="0099568B">
        <w:t xml:space="preserve"> errore materiale emendabile e non illegittima modi</w:t>
      </w:r>
      <w:r>
        <w:t>fica-integrazione dell’offerta quando</w:t>
      </w:r>
      <w:r w:rsidRPr="0099568B">
        <w:t>:</w:t>
      </w:r>
    </w:p>
    <w:p w14:paraId="0495B88E" w14:textId="77777777" w:rsidR="00294B28" w:rsidRDefault="00294B28" w:rsidP="00294B28">
      <w:pPr>
        <w:spacing w:after="0"/>
        <w:jc w:val="both"/>
      </w:pPr>
      <w:r>
        <w:t xml:space="preserve">a) </w:t>
      </w:r>
      <w:r w:rsidRPr="0099568B">
        <w:t>si tratti di un errore materiale necessariamente riconoscibile, e quindi deve risultare palese che il concorrente sia incorso in una svista (T.A.R. Toscana, Sez. III</w:t>
      </w:r>
      <w:r>
        <w:t>, 24 luglio 2020, n. 971);</w:t>
      </w:r>
    </w:p>
    <w:p w14:paraId="7ED5C3EC" w14:textId="77777777" w:rsidR="00294B28" w:rsidRDefault="00294B28" w:rsidP="00294B28">
      <w:pPr>
        <w:spacing w:after="0"/>
        <w:jc w:val="both"/>
      </w:pPr>
      <w:r>
        <w:t xml:space="preserve">b) </w:t>
      </w:r>
      <w:r w:rsidRPr="0099568B">
        <w:t xml:space="preserve">l’effettiva volontà negoziale dell’operatore economico possa ritenersi ragionevolmente certa (Cons. Stato, Sez. III, 20 marzo 2020, n. 1998). Le offerte infatti sono atti negoziali e devono essere interpretate al fine di ricercare l’effettiva volontà dell’impresa partecipante alla gara, superandone le eventuali ambiguità, a </w:t>
      </w:r>
      <w:r w:rsidRPr="0099568B">
        <w:lastRenderedPageBreak/>
        <w:t xml:space="preserve">condizione di giungere ad esiti certi circa la portata dell’impegno negoziale assunto (ex </w:t>
      </w:r>
      <w:proofErr w:type="spellStart"/>
      <w:r w:rsidRPr="0099568B">
        <w:t>multis</w:t>
      </w:r>
      <w:proofErr w:type="spellEnd"/>
      <w:r w:rsidRPr="0099568B">
        <w:t>: Cons. Stato, Sez. III, 28 ottobre 2020, n. 6610; Cons. Stato, Sez. V, 11 gen</w:t>
      </w:r>
      <w:r>
        <w:t>naio 2018, n. 113);</w:t>
      </w:r>
      <w:r>
        <w:br/>
        <w:t xml:space="preserve">c) </w:t>
      </w:r>
      <w:r w:rsidRPr="0099568B">
        <w:t>l’errore materiale sia tale da poter essere rettificato d’ufficio senza attingere a fonti di conoscenza estranee all’offerta medesima o a dichiarazioni integrative o rettificative dell’offerente (Cons. Stato, Sez. III, 28 maggio 2014, n. 1487; T.A.R. Lombardia, Milano, S</w:t>
      </w:r>
      <w:r>
        <w:t>ez. IV, 4 luglio 2018, n. 1650);</w:t>
      </w:r>
    </w:p>
    <w:p w14:paraId="69CA389B" w14:textId="77777777" w:rsidR="00294B28" w:rsidRPr="0099568B" w:rsidRDefault="00294B28" w:rsidP="00294B28">
      <w:pPr>
        <w:spacing w:after="0"/>
        <w:jc w:val="both"/>
      </w:pPr>
      <w:r>
        <w:t xml:space="preserve">d) </w:t>
      </w:r>
      <w:r w:rsidRPr="0099568B">
        <w:t>non siano necessari interventi manipolativi e di adattamento dell’offerta, risultando altrimenti violati la “par condicio”, l’affidamento nelle regole di gara e le esigenze di trasparenza e certezza (Cons. Stato, Sez.</w:t>
      </w:r>
      <w:r>
        <w:t xml:space="preserve"> VI, 13 febbraio 2013, n. 889; </w:t>
      </w:r>
      <w:r w:rsidRPr="0099568B">
        <w:t>da ultimo TAR Venezia, 06.09.2021 n. 1058).</w:t>
      </w:r>
    </w:p>
    <w:p w14:paraId="0DEA8687" w14:textId="77777777" w:rsidR="00294B28" w:rsidRDefault="00294B28" w:rsidP="00294B28">
      <w:pPr>
        <w:pStyle w:val="Nessunaspaziatura"/>
        <w:jc w:val="both"/>
      </w:pPr>
    </w:p>
    <w:p w14:paraId="793791F3" w14:textId="7DA18D15" w:rsidR="00294B28" w:rsidRDefault="00294B28" w:rsidP="00294B28">
      <w:pPr>
        <w:pStyle w:val="Nessunaspaziatura"/>
        <w:jc w:val="both"/>
        <w:rPr>
          <w:rFonts w:cstheme="minorHAnsi"/>
          <w:bCs/>
        </w:rPr>
      </w:pPr>
      <w:r>
        <w:rPr>
          <w:rFonts w:cstheme="minorHAnsi"/>
          <w:bCs/>
        </w:rPr>
        <w:t>In attesa della decisione del R.U.P. in merito alla proposta di esclusione della Ditta “</w:t>
      </w:r>
      <w:r w:rsidR="000100C7" w:rsidRPr="000100C7">
        <w:rPr>
          <w:rFonts w:cstheme="minorHAnsi"/>
          <w:b/>
          <w:i/>
          <w:iCs/>
        </w:rPr>
        <w:t>OMISSIS</w:t>
      </w:r>
      <w:r>
        <w:rPr>
          <w:rFonts w:cstheme="minorHAnsi"/>
          <w:bCs/>
        </w:rPr>
        <w:t xml:space="preserve">” la Commissione ritiene di non poter procedere all’attribuzione del punteggio economico e lascia in sospeso, per l’intero Lotto n. 3 Lazio 45, la redazione della graduatoria provvisoria in attesa della decisione </w:t>
      </w:r>
      <w:r w:rsidRPr="000C0F1E">
        <w:rPr>
          <w:rFonts w:cstheme="minorHAnsi"/>
          <w:bCs/>
          <w:i/>
        </w:rPr>
        <w:t>de quo</w:t>
      </w:r>
      <w:r>
        <w:rPr>
          <w:rFonts w:cstheme="minorHAnsi"/>
          <w:bCs/>
        </w:rPr>
        <w:t>.</w:t>
      </w:r>
    </w:p>
    <w:p w14:paraId="1ABA034C" w14:textId="77777777" w:rsidR="00EF0056" w:rsidRDefault="00EF0056" w:rsidP="00294B28">
      <w:pPr>
        <w:pStyle w:val="Nessunaspaziatura"/>
        <w:jc w:val="both"/>
        <w:rPr>
          <w:rFonts w:cstheme="minorHAnsi"/>
          <w:bCs/>
        </w:rPr>
      </w:pPr>
    </w:p>
    <w:p w14:paraId="6D1D4B88" w14:textId="37DDD4C2" w:rsidR="00EF0056" w:rsidRDefault="00EF0056" w:rsidP="00294B28">
      <w:pPr>
        <w:pStyle w:val="Nessunaspaziatura"/>
        <w:jc w:val="both"/>
      </w:pPr>
      <w:r>
        <w:rPr>
          <w:rFonts w:cstheme="minorHAnsi"/>
          <w:bCs/>
        </w:rPr>
        <w:t>Nel presente verbale si dà atto dell’effettuata comunicazione al R.U.P. di corrispondenza pervenuta da parte di un operatore economico che non rileva ai fini dei lavori della Commissione (</w:t>
      </w:r>
      <w:proofErr w:type="spellStart"/>
      <w:r>
        <w:rPr>
          <w:rFonts w:cstheme="minorHAnsi"/>
          <w:bCs/>
        </w:rPr>
        <w:t>All</w:t>
      </w:r>
      <w:proofErr w:type="spellEnd"/>
      <w:r>
        <w:rPr>
          <w:rFonts w:cstheme="minorHAnsi"/>
          <w:bCs/>
        </w:rPr>
        <w:t>. V13-3).</w:t>
      </w:r>
    </w:p>
    <w:p w14:paraId="67BE4A0F" w14:textId="77777777" w:rsidR="00761745" w:rsidRPr="00761745" w:rsidRDefault="00761745" w:rsidP="00761745">
      <w:pPr>
        <w:pStyle w:val="Nessunaspaziatura"/>
        <w:jc w:val="both"/>
      </w:pPr>
    </w:p>
    <w:bookmarkEnd w:id="0"/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7E846231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BB29F6">
        <w:rPr>
          <w:rFonts w:cstheme="minorHAnsi"/>
        </w:rPr>
        <w:t>, che si compone di n.</w:t>
      </w:r>
      <w:r w:rsidR="00462D3E">
        <w:rPr>
          <w:rFonts w:cstheme="minorHAnsi"/>
        </w:rPr>
        <w:t xml:space="preserve"> </w:t>
      </w:r>
      <w:r w:rsidR="000637E4">
        <w:rPr>
          <w:rFonts w:cstheme="minorHAnsi"/>
        </w:rPr>
        <w:t>3</w:t>
      </w:r>
      <w:r w:rsidR="00BB29F6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 w:rsidR="000637E4">
        <w:rPr>
          <w:rFonts w:cstheme="minorHAnsi"/>
        </w:rPr>
        <w:t xml:space="preserve"> oltre n. </w:t>
      </w:r>
      <w:r w:rsidR="00EF0056">
        <w:rPr>
          <w:rFonts w:cstheme="minorHAnsi"/>
        </w:rPr>
        <w:t>3</w:t>
      </w:r>
      <w:r w:rsidR="000637E4">
        <w:rPr>
          <w:rFonts w:cstheme="minorHAnsi"/>
        </w:rPr>
        <w:t xml:space="preserve"> allegati,</w:t>
      </w:r>
      <w:r w:rsidR="00760217">
        <w:rPr>
          <w:rFonts w:cstheme="minorHAnsi"/>
        </w:rPr>
        <w:t xml:space="preserve">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</w:t>
      </w:r>
      <w:r w:rsidR="00A67871">
        <w:rPr>
          <w:rFonts w:cstheme="minorHAnsi"/>
        </w:rPr>
        <w:t>9</w:t>
      </w:r>
      <w:r w:rsidRPr="00AF740D">
        <w:rPr>
          <w:rFonts w:cstheme="minorHAnsi"/>
        </w:rPr>
        <w:t>.</w:t>
      </w:r>
      <w:r w:rsidR="00D07C8C">
        <w:rPr>
          <w:rFonts w:cstheme="minorHAnsi"/>
        </w:rPr>
        <w:t>10</w:t>
      </w:r>
      <w:r w:rsidRPr="00AF740D">
        <w:rPr>
          <w:rFonts w:cstheme="minorHAnsi"/>
        </w:rPr>
        <w:t>.</w:t>
      </w:r>
    </w:p>
    <w:p w14:paraId="148BED73" w14:textId="4CEBF114" w:rsidR="005C45C2" w:rsidRDefault="00186652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11</w:t>
      </w:r>
      <w:r w:rsidR="00B12B7A">
        <w:rPr>
          <w:rFonts w:ascii="Calibri" w:hAnsi="Calibri" w:cs="Calibri"/>
          <w:sz w:val="22"/>
          <w:szCs w:val="22"/>
        </w:rPr>
        <w:t>/0</w:t>
      </w:r>
      <w:r w:rsidR="004F32E3"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A5D26" w14:textId="77777777" w:rsidR="0085382C" w:rsidRDefault="0085382C">
      <w:pPr>
        <w:spacing w:after="0" w:line="240" w:lineRule="auto"/>
      </w:pPr>
      <w:r>
        <w:separator/>
      </w:r>
    </w:p>
  </w:endnote>
  <w:endnote w:type="continuationSeparator" w:id="0">
    <w:p w14:paraId="6AD71F21" w14:textId="77777777" w:rsidR="0085382C" w:rsidRDefault="00853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B86F" w14:textId="77777777" w:rsidR="00F2586A" w:rsidRDefault="00F258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1F51" w14:textId="045A27EE" w:rsidR="00F2586A" w:rsidRDefault="00F2586A" w:rsidP="005C552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13 del 11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F2586A" w:rsidRPr="00A941D7" w:rsidRDefault="00F2586A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F2586A" w:rsidRDefault="00F2586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F2586A" w:rsidRDefault="00F2586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6D96891D" w14:textId="0D03D188" w:rsidR="00F2586A" w:rsidRDefault="00F2586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93E7" w14:textId="77777777" w:rsidR="00F2586A" w:rsidRDefault="00F258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12D2" w14:textId="77777777" w:rsidR="0085382C" w:rsidRDefault="0085382C">
      <w:pPr>
        <w:spacing w:after="0" w:line="240" w:lineRule="auto"/>
      </w:pPr>
      <w:r>
        <w:separator/>
      </w:r>
    </w:p>
  </w:footnote>
  <w:footnote w:type="continuationSeparator" w:id="0">
    <w:p w14:paraId="29085041" w14:textId="77777777" w:rsidR="0085382C" w:rsidRDefault="00853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7201D" w14:textId="77777777" w:rsidR="00F2586A" w:rsidRDefault="00F258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F2586A" w:rsidRDefault="00F2586A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33F">
          <w:rPr>
            <w:noProof/>
          </w:rPr>
          <w:t>3</w:t>
        </w:r>
        <w:r>
          <w:fldChar w:fldCharType="end"/>
        </w:r>
      </w:p>
    </w:sdtContent>
  </w:sdt>
  <w:p w14:paraId="2B56B567" w14:textId="77777777" w:rsidR="00F2586A" w:rsidRDefault="00F258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19A8E" w14:textId="77777777" w:rsidR="00F2586A" w:rsidRDefault="00F258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9B"/>
    <w:rsid w:val="000100C7"/>
    <w:rsid w:val="00015C6A"/>
    <w:rsid w:val="000258CC"/>
    <w:rsid w:val="00030E19"/>
    <w:rsid w:val="00033970"/>
    <w:rsid w:val="000361B8"/>
    <w:rsid w:val="00044DC3"/>
    <w:rsid w:val="00053924"/>
    <w:rsid w:val="00057F2A"/>
    <w:rsid w:val="000616FA"/>
    <w:rsid w:val="00062443"/>
    <w:rsid w:val="00062E0E"/>
    <w:rsid w:val="000637E4"/>
    <w:rsid w:val="00063FC5"/>
    <w:rsid w:val="00067BA1"/>
    <w:rsid w:val="00067FC4"/>
    <w:rsid w:val="000806E5"/>
    <w:rsid w:val="000828D8"/>
    <w:rsid w:val="0008758A"/>
    <w:rsid w:val="000A07A3"/>
    <w:rsid w:val="000A14DE"/>
    <w:rsid w:val="000A4444"/>
    <w:rsid w:val="000C0F1E"/>
    <w:rsid w:val="000C2F42"/>
    <w:rsid w:val="000D60BD"/>
    <w:rsid w:val="000F1DD0"/>
    <w:rsid w:val="000F233B"/>
    <w:rsid w:val="000F4189"/>
    <w:rsid w:val="000F567D"/>
    <w:rsid w:val="000F7A1C"/>
    <w:rsid w:val="001014B9"/>
    <w:rsid w:val="00104B1B"/>
    <w:rsid w:val="00106317"/>
    <w:rsid w:val="00110272"/>
    <w:rsid w:val="001142F9"/>
    <w:rsid w:val="00114843"/>
    <w:rsid w:val="00120E6A"/>
    <w:rsid w:val="00137230"/>
    <w:rsid w:val="001401C6"/>
    <w:rsid w:val="00143802"/>
    <w:rsid w:val="001465CE"/>
    <w:rsid w:val="00157CB2"/>
    <w:rsid w:val="00162DA0"/>
    <w:rsid w:val="001648E0"/>
    <w:rsid w:val="00167E8C"/>
    <w:rsid w:val="001710C6"/>
    <w:rsid w:val="001714EE"/>
    <w:rsid w:val="00176B21"/>
    <w:rsid w:val="00186652"/>
    <w:rsid w:val="00190288"/>
    <w:rsid w:val="00191D5C"/>
    <w:rsid w:val="001A1794"/>
    <w:rsid w:val="001B131E"/>
    <w:rsid w:val="001C2A0F"/>
    <w:rsid w:val="001F07EA"/>
    <w:rsid w:val="001F206B"/>
    <w:rsid w:val="001F3A6C"/>
    <w:rsid w:val="0020178E"/>
    <w:rsid w:val="00213B61"/>
    <w:rsid w:val="00220770"/>
    <w:rsid w:val="00221B39"/>
    <w:rsid w:val="00224918"/>
    <w:rsid w:val="0023223F"/>
    <w:rsid w:val="00235C4D"/>
    <w:rsid w:val="002420C2"/>
    <w:rsid w:val="0026059F"/>
    <w:rsid w:val="00267F76"/>
    <w:rsid w:val="00283AB8"/>
    <w:rsid w:val="002915B9"/>
    <w:rsid w:val="00294B28"/>
    <w:rsid w:val="002A7716"/>
    <w:rsid w:val="002B3570"/>
    <w:rsid w:val="002C0683"/>
    <w:rsid w:val="002C4433"/>
    <w:rsid w:val="002D3622"/>
    <w:rsid w:val="002D37A4"/>
    <w:rsid w:val="002E34E8"/>
    <w:rsid w:val="002E5113"/>
    <w:rsid w:val="00302579"/>
    <w:rsid w:val="003047F0"/>
    <w:rsid w:val="003067EC"/>
    <w:rsid w:val="00316DC3"/>
    <w:rsid w:val="00320726"/>
    <w:rsid w:val="00331A4F"/>
    <w:rsid w:val="00334D1C"/>
    <w:rsid w:val="00341A3C"/>
    <w:rsid w:val="0034318A"/>
    <w:rsid w:val="0035258F"/>
    <w:rsid w:val="00355715"/>
    <w:rsid w:val="0036322A"/>
    <w:rsid w:val="0037185A"/>
    <w:rsid w:val="00372369"/>
    <w:rsid w:val="00375496"/>
    <w:rsid w:val="00391C81"/>
    <w:rsid w:val="003A31B4"/>
    <w:rsid w:val="003A39D6"/>
    <w:rsid w:val="003C7839"/>
    <w:rsid w:val="003C7FD9"/>
    <w:rsid w:val="003D4FF7"/>
    <w:rsid w:val="003F7F80"/>
    <w:rsid w:val="00407851"/>
    <w:rsid w:val="004078CF"/>
    <w:rsid w:val="00413E01"/>
    <w:rsid w:val="00440C61"/>
    <w:rsid w:val="004416D6"/>
    <w:rsid w:val="00442939"/>
    <w:rsid w:val="004501B5"/>
    <w:rsid w:val="00461702"/>
    <w:rsid w:val="00462D3E"/>
    <w:rsid w:val="0047062A"/>
    <w:rsid w:val="004727A9"/>
    <w:rsid w:val="00472925"/>
    <w:rsid w:val="00481E50"/>
    <w:rsid w:val="0049791C"/>
    <w:rsid w:val="004B21EE"/>
    <w:rsid w:val="004C6DC2"/>
    <w:rsid w:val="004E368B"/>
    <w:rsid w:val="004E74D9"/>
    <w:rsid w:val="004F32E3"/>
    <w:rsid w:val="00501D15"/>
    <w:rsid w:val="00506324"/>
    <w:rsid w:val="0050634E"/>
    <w:rsid w:val="00512087"/>
    <w:rsid w:val="005121B8"/>
    <w:rsid w:val="00517EE0"/>
    <w:rsid w:val="00520F73"/>
    <w:rsid w:val="005223B2"/>
    <w:rsid w:val="005313E1"/>
    <w:rsid w:val="00534934"/>
    <w:rsid w:val="00541A70"/>
    <w:rsid w:val="00541F15"/>
    <w:rsid w:val="00545061"/>
    <w:rsid w:val="00552E5A"/>
    <w:rsid w:val="00554BC3"/>
    <w:rsid w:val="00556549"/>
    <w:rsid w:val="00556752"/>
    <w:rsid w:val="005623E6"/>
    <w:rsid w:val="00566E2E"/>
    <w:rsid w:val="00571BBF"/>
    <w:rsid w:val="00571D81"/>
    <w:rsid w:val="005750F4"/>
    <w:rsid w:val="005768FB"/>
    <w:rsid w:val="00585476"/>
    <w:rsid w:val="005A6DD3"/>
    <w:rsid w:val="005A77A2"/>
    <w:rsid w:val="005A78A7"/>
    <w:rsid w:val="005B0323"/>
    <w:rsid w:val="005C45C2"/>
    <w:rsid w:val="005C4F08"/>
    <w:rsid w:val="005C5527"/>
    <w:rsid w:val="005C5998"/>
    <w:rsid w:val="005D087C"/>
    <w:rsid w:val="005D4919"/>
    <w:rsid w:val="005E17C8"/>
    <w:rsid w:val="00614501"/>
    <w:rsid w:val="00614DE5"/>
    <w:rsid w:val="00617C6B"/>
    <w:rsid w:val="006357C0"/>
    <w:rsid w:val="0063633F"/>
    <w:rsid w:val="00636DAC"/>
    <w:rsid w:val="00640FE6"/>
    <w:rsid w:val="00652109"/>
    <w:rsid w:val="0066696C"/>
    <w:rsid w:val="00673FA5"/>
    <w:rsid w:val="0067727D"/>
    <w:rsid w:val="00681E90"/>
    <w:rsid w:val="00681F99"/>
    <w:rsid w:val="00686BB3"/>
    <w:rsid w:val="006936AA"/>
    <w:rsid w:val="00697844"/>
    <w:rsid w:val="006A41DA"/>
    <w:rsid w:val="006A53AB"/>
    <w:rsid w:val="006A773A"/>
    <w:rsid w:val="006B2616"/>
    <w:rsid w:val="006B68DB"/>
    <w:rsid w:val="006C416A"/>
    <w:rsid w:val="006C4E03"/>
    <w:rsid w:val="006C5BA7"/>
    <w:rsid w:val="006E1060"/>
    <w:rsid w:val="006E4D4E"/>
    <w:rsid w:val="006E594C"/>
    <w:rsid w:val="006F1B79"/>
    <w:rsid w:val="007047C0"/>
    <w:rsid w:val="007129F8"/>
    <w:rsid w:val="007247F5"/>
    <w:rsid w:val="00741A15"/>
    <w:rsid w:val="0074468E"/>
    <w:rsid w:val="00760217"/>
    <w:rsid w:val="00761745"/>
    <w:rsid w:val="00773295"/>
    <w:rsid w:val="007763A7"/>
    <w:rsid w:val="007778AF"/>
    <w:rsid w:val="007961A3"/>
    <w:rsid w:val="007B18D9"/>
    <w:rsid w:val="007B2CAF"/>
    <w:rsid w:val="007B7EF7"/>
    <w:rsid w:val="007C4567"/>
    <w:rsid w:val="007C59CC"/>
    <w:rsid w:val="007D2C6A"/>
    <w:rsid w:val="007D30EF"/>
    <w:rsid w:val="007D3E5D"/>
    <w:rsid w:val="007F0FC6"/>
    <w:rsid w:val="00801B0E"/>
    <w:rsid w:val="0080606B"/>
    <w:rsid w:val="00812515"/>
    <w:rsid w:val="00820B1E"/>
    <w:rsid w:val="00827B6E"/>
    <w:rsid w:val="00833BD2"/>
    <w:rsid w:val="0083409B"/>
    <w:rsid w:val="0083565F"/>
    <w:rsid w:val="00840607"/>
    <w:rsid w:val="00845BB4"/>
    <w:rsid w:val="00852FD4"/>
    <w:rsid w:val="0085382C"/>
    <w:rsid w:val="008539FF"/>
    <w:rsid w:val="0085554A"/>
    <w:rsid w:val="00860F1D"/>
    <w:rsid w:val="00864941"/>
    <w:rsid w:val="00871265"/>
    <w:rsid w:val="00891B05"/>
    <w:rsid w:val="0089567C"/>
    <w:rsid w:val="008A4B9B"/>
    <w:rsid w:val="008C3FDD"/>
    <w:rsid w:val="008D0255"/>
    <w:rsid w:val="008D0343"/>
    <w:rsid w:val="008E1976"/>
    <w:rsid w:val="008E6481"/>
    <w:rsid w:val="008E79FA"/>
    <w:rsid w:val="008F7ED9"/>
    <w:rsid w:val="00907E92"/>
    <w:rsid w:val="00917AE0"/>
    <w:rsid w:val="00943666"/>
    <w:rsid w:val="00953401"/>
    <w:rsid w:val="00966CE6"/>
    <w:rsid w:val="00970507"/>
    <w:rsid w:val="009714FD"/>
    <w:rsid w:val="00972E39"/>
    <w:rsid w:val="009730AF"/>
    <w:rsid w:val="00984CB6"/>
    <w:rsid w:val="009853B8"/>
    <w:rsid w:val="00985D8A"/>
    <w:rsid w:val="009B05F9"/>
    <w:rsid w:val="009B7318"/>
    <w:rsid w:val="009C2AFF"/>
    <w:rsid w:val="009C5882"/>
    <w:rsid w:val="009C7772"/>
    <w:rsid w:val="009D2091"/>
    <w:rsid w:val="009D79BF"/>
    <w:rsid w:val="009E158F"/>
    <w:rsid w:val="009F1FA8"/>
    <w:rsid w:val="009F2260"/>
    <w:rsid w:val="009F371A"/>
    <w:rsid w:val="009F634A"/>
    <w:rsid w:val="00A02E69"/>
    <w:rsid w:val="00A03164"/>
    <w:rsid w:val="00A243B1"/>
    <w:rsid w:val="00A31D86"/>
    <w:rsid w:val="00A44953"/>
    <w:rsid w:val="00A55683"/>
    <w:rsid w:val="00A63CE8"/>
    <w:rsid w:val="00A67871"/>
    <w:rsid w:val="00A67979"/>
    <w:rsid w:val="00A72BE1"/>
    <w:rsid w:val="00A941D7"/>
    <w:rsid w:val="00A9478C"/>
    <w:rsid w:val="00AA0115"/>
    <w:rsid w:val="00AA0A69"/>
    <w:rsid w:val="00AA2954"/>
    <w:rsid w:val="00AB1520"/>
    <w:rsid w:val="00AC14CB"/>
    <w:rsid w:val="00AC19C9"/>
    <w:rsid w:val="00AD3F73"/>
    <w:rsid w:val="00AF206B"/>
    <w:rsid w:val="00AF27DC"/>
    <w:rsid w:val="00AF5AFC"/>
    <w:rsid w:val="00B02365"/>
    <w:rsid w:val="00B03B9D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2079"/>
    <w:rsid w:val="00B8619A"/>
    <w:rsid w:val="00B965A2"/>
    <w:rsid w:val="00BA1BF0"/>
    <w:rsid w:val="00BB29F6"/>
    <w:rsid w:val="00BB6D2D"/>
    <w:rsid w:val="00BC07CC"/>
    <w:rsid w:val="00BC3FD8"/>
    <w:rsid w:val="00BC5FD7"/>
    <w:rsid w:val="00BD6CD2"/>
    <w:rsid w:val="00BE04AE"/>
    <w:rsid w:val="00BE246B"/>
    <w:rsid w:val="00BF0D89"/>
    <w:rsid w:val="00BF650A"/>
    <w:rsid w:val="00C060EB"/>
    <w:rsid w:val="00C13E34"/>
    <w:rsid w:val="00C20834"/>
    <w:rsid w:val="00C224BC"/>
    <w:rsid w:val="00C267D9"/>
    <w:rsid w:val="00C27B7E"/>
    <w:rsid w:val="00C32007"/>
    <w:rsid w:val="00C33A86"/>
    <w:rsid w:val="00C43BDF"/>
    <w:rsid w:val="00C440B1"/>
    <w:rsid w:val="00C47B69"/>
    <w:rsid w:val="00C50DA7"/>
    <w:rsid w:val="00C50F30"/>
    <w:rsid w:val="00C55437"/>
    <w:rsid w:val="00C56783"/>
    <w:rsid w:val="00C5703C"/>
    <w:rsid w:val="00C60378"/>
    <w:rsid w:val="00C62ECE"/>
    <w:rsid w:val="00C71DAA"/>
    <w:rsid w:val="00C829F1"/>
    <w:rsid w:val="00C83EE2"/>
    <w:rsid w:val="00C854D8"/>
    <w:rsid w:val="00C8577D"/>
    <w:rsid w:val="00C95B65"/>
    <w:rsid w:val="00CB25B4"/>
    <w:rsid w:val="00CC2105"/>
    <w:rsid w:val="00CC555C"/>
    <w:rsid w:val="00CC57F1"/>
    <w:rsid w:val="00CC781D"/>
    <w:rsid w:val="00CE7BE1"/>
    <w:rsid w:val="00CF10D8"/>
    <w:rsid w:val="00D04586"/>
    <w:rsid w:val="00D0529D"/>
    <w:rsid w:val="00D07C8C"/>
    <w:rsid w:val="00D07EF2"/>
    <w:rsid w:val="00D13285"/>
    <w:rsid w:val="00D15E1D"/>
    <w:rsid w:val="00D17E73"/>
    <w:rsid w:val="00D25A0A"/>
    <w:rsid w:val="00D46A5E"/>
    <w:rsid w:val="00D54E2D"/>
    <w:rsid w:val="00D55736"/>
    <w:rsid w:val="00D63F98"/>
    <w:rsid w:val="00D66571"/>
    <w:rsid w:val="00D73DF9"/>
    <w:rsid w:val="00D75D53"/>
    <w:rsid w:val="00D93A6F"/>
    <w:rsid w:val="00DB30DA"/>
    <w:rsid w:val="00DB5431"/>
    <w:rsid w:val="00DB72F4"/>
    <w:rsid w:val="00DB7F59"/>
    <w:rsid w:val="00DC6951"/>
    <w:rsid w:val="00DD7ED6"/>
    <w:rsid w:val="00DE4294"/>
    <w:rsid w:val="00DF050C"/>
    <w:rsid w:val="00E005DC"/>
    <w:rsid w:val="00E1218F"/>
    <w:rsid w:val="00E163B4"/>
    <w:rsid w:val="00E21D9E"/>
    <w:rsid w:val="00E259EB"/>
    <w:rsid w:val="00E30809"/>
    <w:rsid w:val="00E31F85"/>
    <w:rsid w:val="00E467BA"/>
    <w:rsid w:val="00E50BC3"/>
    <w:rsid w:val="00E61073"/>
    <w:rsid w:val="00E65DF0"/>
    <w:rsid w:val="00E70E80"/>
    <w:rsid w:val="00E8054E"/>
    <w:rsid w:val="00E86050"/>
    <w:rsid w:val="00E8679C"/>
    <w:rsid w:val="00E90BBF"/>
    <w:rsid w:val="00E95178"/>
    <w:rsid w:val="00EA06B0"/>
    <w:rsid w:val="00EB05F8"/>
    <w:rsid w:val="00EB1C45"/>
    <w:rsid w:val="00EB2691"/>
    <w:rsid w:val="00EB2D79"/>
    <w:rsid w:val="00EC10B9"/>
    <w:rsid w:val="00EC4F28"/>
    <w:rsid w:val="00ED5CF3"/>
    <w:rsid w:val="00EE12A1"/>
    <w:rsid w:val="00EE342B"/>
    <w:rsid w:val="00EE448B"/>
    <w:rsid w:val="00EE51D6"/>
    <w:rsid w:val="00EE549D"/>
    <w:rsid w:val="00EF0056"/>
    <w:rsid w:val="00F00B0D"/>
    <w:rsid w:val="00F057CF"/>
    <w:rsid w:val="00F10006"/>
    <w:rsid w:val="00F130D2"/>
    <w:rsid w:val="00F165E0"/>
    <w:rsid w:val="00F20999"/>
    <w:rsid w:val="00F228E8"/>
    <w:rsid w:val="00F2586A"/>
    <w:rsid w:val="00F26CCA"/>
    <w:rsid w:val="00F356F7"/>
    <w:rsid w:val="00F426FA"/>
    <w:rsid w:val="00F502D0"/>
    <w:rsid w:val="00F5036C"/>
    <w:rsid w:val="00F546C3"/>
    <w:rsid w:val="00F556BB"/>
    <w:rsid w:val="00F56EDE"/>
    <w:rsid w:val="00F63228"/>
    <w:rsid w:val="00F77204"/>
    <w:rsid w:val="00F775E8"/>
    <w:rsid w:val="00F77D3C"/>
    <w:rsid w:val="00F84D4D"/>
    <w:rsid w:val="00F9011F"/>
    <w:rsid w:val="00F90C86"/>
    <w:rsid w:val="00F91593"/>
    <w:rsid w:val="00F93D53"/>
    <w:rsid w:val="00FA07E6"/>
    <w:rsid w:val="00FA6208"/>
    <w:rsid w:val="00FB6724"/>
    <w:rsid w:val="00FB74DD"/>
    <w:rsid w:val="00FC7618"/>
    <w:rsid w:val="00FD234F"/>
    <w:rsid w:val="00FD5CB7"/>
    <w:rsid w:val="00FE4A7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FB74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5A203-D93A-4E93-99DA-122BB4C8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46</cp:revision>
  <cp:lastPrinted>2022-01-20T14:55:00Z</cp:lastPrinted>
  <dcterms:created xsi:type="dcterms:W3CDTF">2022-02-17T16:32:00Z</dcterms:created>
  <dcterms:modified xsi:type="dcterms:W3CDTF">2022-05-03T14:32:00Z</dcterms:modified>
</cp:coreProperties>
</file>